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26-73</w:t>
      </w:r>
    </w:p>
    <w:p>
      <w:pPr>
        <w:spacing w:before="0" w:after="0" w:line="480"/>
        <w:ind w:left="120"/>
        <w:jc w:val="left"/>
      </w:pPr>
    </w:p>
    <w:p>
      <w:pPr>
        <w:spacing w:before="0" w:after="0" w:line="480"/>
        <w:ind w:left="120"/>
        <w:jc w:val="center"/>
      </w:pPr>
      <w:r>
        <w:rPr>
          <w:rFonts w:ascii="Times New Roman" w:hAnsi="Times New Roman"/>
          <w:b/>
          <w:i w:val="false"/>
          <w:color w:val="000000"/>
          <w:sz w:val="28"/>
        </w:rPr>
        <w:t>TRANSPORTATION DEPARTMENT[761]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rule 761—602.3(321)</w:t>
      </w:r>
    </w:p>
    <w:p>
      <w:pPr>
        <w:spacing w:before="0" w:after="0" w:line="480"/>
        <w:ind w:left="120"/>
        <w:jc w:val="center"/>
      </w:pPr>
      <w:r>
        <w:rPr>
          <w:rFonts w:ascii="Times New Roman" w:hAnsi="Times New Roman"/>
          <w:b w:val="false"/>
          <w:i w:val="false"/>
          <w:color w:val="000000"/>
          <w:sz w:val="24"/>
        </w:rPr>
        <w:t>“Driver’s Licenses”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321.189</w:t>
      </w:r>
    </w:p>
    <w:p>
      <w:pPr>
        <w:spacing w:before="0" w:after="0" w:line="480"/>
        <w:ind w:left="120"/>
        <w:jc w:val="both"/>
      </w:pPr>
      <w:r>
        <w:rPr>
          <w:rFonts w:ascii="Times New Roman" w:hAnsi="Times New Roman"/>
          <w:b w:val="false"/>
          <w:i w:val="false"/>
          <w:color w:val="000000"/>
          <w:sz w:val="24"/>
        </w:rPr>
        <w:t>State or federal law(s) implemented by the rulemaking: Iowa Code sections 321.180 and 321.189</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5760"/>
        <w:gridCol w:w="5760"/>
      </w:tblGrid>
      <w:tr>
        <w:trPr>
          <w:trHeight w:val="1470" w:hRule="atLeast"/>
        </w:trPr>
        <w:tc>
          <w:tcPr>
            <w:tcW w:w="576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June 23, 2026</w:t>
            </w:r>
            <w:r>
              <w:br/>
            </w:r>
            <w:r>
              <w:rPr>
                <w:rFonts w:ascii="Times New Roman" w:hAnsi="Times New Roman"/>
                <w:b w:val="false"/>
                <w:i w:val="false"/>
                <w:color w:val="000000"/>
                <w:sz w:val="21"/>
              </w:rPr>
              <w:t>10 to 10:30 a.m.</w:t>
            </w:r>
          </w:p>
        </w:tc>
        <w:tc>
          <w:tcPr>
            <w:tcW w:w="5760" w:type="dxa"/>
            <w:tcBorders/>
            <w:tcMar>
              <w:top w:w="30" w:type="dxa"/>
              <w:left w:w="30" w:type="dxa"/>
              <w:bottom w:w="15" w:type="dxa"/>
              <w:right w:w="30" w:type="dxa"/>
            </w:tcMar>
            <w:vAlign w:val="top"/>
          </w:tcPr>
          <w:p>
            <w:pPr>
              <w:spacing w:before="0" w:after="0" w:line="480"/>
              <w:ind w:left="0"/>
              <w:jc w:val="left"/>
            </w:pPr>
            <w:hyperlink r:id="rId4">
              <w:r>
                <w:rPr>
                  <w:rStyle w:val="Hyperlink"/>
                  <w:rFonts w:ascii="Times New Roman" w:hAnsi="Times New Roman"/>
                  <w:b w:val="false"/>
                  <w:i w:val="false"/>
                  <w:color w:val="0000ff"/>
                  <w:sz w:val="24"/>
                </w:rPr>
                <w:t>Microsoft Teams</w:t>
              </w:r>
            </w:hyperlink>
            <w:r>
              <w:br/>
            </w:r>
            <w:r>
              <w:rPr>
                <w:rFonts w:ascii="Times New Roman" w:hAnsi="Times New Roman"/>
                <w:b w:val="false"/>
                <w:i w:val="false"/>
                <w:color w:val="000000"/>
                <w:sz w:val="21"/>
              </w:rPr>
              <w:t>Or dial: 515.817.6093</w:t>
            </w:r>
            <w:r>
              <w:br/>
            </w:r>
            <w:r>
              <w:rPr>
                <w:rFonts w:ascii="Times New Roman" w:hAnsi="Times New Roman"/>
                <w:b w:val="false"/>
                <w:i w:val="false"/>
                <w:color w:val="000000"/>
                <w:sz w:val="21"/>
              </w:rPr>
              <w:t>Conference ID: 123 320 295#</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Department of Transportation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Pr>
      <w:tblGrid>
        <w:gridCol w:w="4241"/>
      </w:tblGrid>
      <w:tr>
        <w:trPr>
          <w:trHeight w:val="1950" w:hRule="atLeast"/>
        </w:trPr>
        <w:tc>
          <w:tcPr>
            <w:tcW w:w="424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Sara Siedsma</w:t>
            </w:r>
            <w:r>
              <w:br/>
            </w:r>
            <w:r>
              <w:rPr>
                <w:rFonts w:ascii="Times New Roman" w:hAnsi="Times New Roman"/>
                <w:b w:val="false"/>
                <w:i w:val="false"/>
                <w:color w:val="000000"/>
                <w:sz w:val="21"/>
              </w:rPr>
              <w:t>6310 SE Convenience Boulevard</w:t>
            </w:r>
            <w:r>
              <w:br/>
            </w:r>
            <w:r>
              <w:rPr>
                <w:rFonts w:ascii="Times New Roman" w:hAnsi="Times New Roman"/>
                <w:b w:val="false"/>
                <w:i w:val="false"/>
                <w:color w:val="000000"/>
                <w:sz w:val="21"/>
              </w:rPr>
              <w:t>Ankeny, Iowa 50021</w:t>
            </w:r>
            <w:r>
              <w:br/>
            </w:r>
            <w:r>
              <w:rPr>
                <w:rFonts w:ascii="Times New Roman" w:hAnsi="Times New Roman"/>
                <w:b w:val="false"/>
                <w:i w:val="false"/>
                <w:color w:val="000000"/>
                <w:sz w:val="21"/>
              </w:rPr>
              <w:t xml:space="preserve">Email: </w:t>
            </w:r>
            <w:hyperlink r:id="rId5">
              <w:r>
                <w:rPr>
                  <w:rStyle w:val="Hyperlink"/>
                  <w:rFonts w:ascii="Times New Roman" w:hAnsi="Times New Roman"/>
                  <w:b w:val="false"/>
                  <w:i w:val="false"/>
                  <w:color w:val="0000ff"/>
                  <w:sz w:val="24"/>
                </w:rPr>
                <w:t>sara.siedsma@iowadot.us</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the proposed amendment is to conform with 2026 Iowa Acts, Senate File 2088, which eliminates the chauffeur’s instruction permit as a permit type issued by the Department, and updates the rules to reflect how commercial learner’s permits and restricted commercial driver’s licenses will display under the Department’s new information technology (IT) system. The chauffeur’s instruction permit was removed from statute because it is obsolete; individuals can instead use a Class C permit or license to gain the driving experience required for a chauffeur’s license. Additionally, commercial learner’s permits and restricted commercial driver’s licenses will display an identifier for the license type on the front of the credential rather than only a restriction number that is explained on the back of the license. </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or fees associated with this proposed amendment beyond those imposed by the underlying statute.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Persons interested in a chauffeur’s license, a commercial learner’s permit or a restricted commercial driver’s license will benefit from having the rule reflect the statute and the new capabilities of the Department’s IT system.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are no quantitative impacts.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There are no qualitative impacts.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implementation or enforcement costs beyond those of the underlying statute.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are no anticipated effects on State revenues beyond those of the underlying statute.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There is no benefit of inaction. The proposed amendment conforms with underlying statute and the new capabilities of the Department’s IT system.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There are no less costly or less intrusive methods to achieve the purpose of the proposed amendment.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Department did not consider alternatives for the proposed amendment.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 </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small business impact from the proposed amendment. </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761—602.3(321)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761—602.3</w:t>
      </w:r>
      <w:r>
        <w:rPr>
          <w:rFonts w:ascii="Times New Roman" w:hAnsi="Times New Roman"/>
          <w:b/>
          <w:i w:val="false"/>
          <w:color w:val="000000"/>
          <w:sz w:val="24"/>
        </w:rPr>
        <w:t xml:space="preserve">(321) </w:t>
      </w:r>
      <w:r>
        <w:rPr>
          <w:rFonts w:ascii="Times New Roman" w:hAnsi="Times New Roman"/>
          <w:b/>
          <w:i w:val="false"/>
          <w:color w:val="000000"/>
          <w:sz w:val="24"/>
        </w:rPr>
        <w:t xml:space="preserve">Driver’s licenses.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602.3(1)</w:t>
      </w:r>
      <w:r>
        <w:rPr>
          <w:rFonts w:ascii="Times New Roman" w:hAnsi="Times New Roman"/>
          <w:b w:val="false"/>
          <w:i w:val="false"/>
          <w:color w:val="000000"/>
          <w:sz w:val="24"/>
        </w:rPr>
        <w:t xml:space="preserve"> 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602.3(2)</w:t>
      </w:r>
      <w:r>
        <w:rPr>
          <w:rFonts w:ascii="Times New Roman" w:hAnsi="Times New Roman"/>
          <w:b w:val="false"/>
          <w:i w:val="false"/>
          <w:color w:val="000000"/>
          <w:sz w:val="24"/>
        </w:rPr>
        <w:t> </w:t>
      </w:r>
      <w:r>
        <w:rPr>
          <w:rFonts w:ascii="Times New Roman" w:hAnsi="Times New Roman"/>
          <w:b w:val="false"/>
          <w:i/>
          <w:color w:val="000000"/>
          <w:sz w:val="24"/>
        </w:rPr>
        <w:t xml:space="preserve">Special licenses and permits. </w:t>
      </w:r>
      <w:r>
        <w:rPr>
          <w:rFonts w:ascii="Times New Roman" w:hAnsi="Times New Roman"/>
          <w:b w:val="false"/>
          <w:i w:val="false"/>
          <w:color w:val="000000"/>
          <w:sz w:val="24"/>
        </w:rPr>
        <w:t>The department issues the following special licenses and permits. More than one type of special license or permit may be issued to an applicant. On the driver’s license,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an identifier or</w:t>
      </w:r>
      <w:r>
        <w:rPr>
          <w:rFonts w:ascii="Times New Roman" w:hAnsi="Times New Roman"/>
          <w:b w:val="false"/>
          <w:i w:val="false"/>
          <w:color w:val="000000"/>
          <w:sz w:val="24"/>
        </w:rPr>
        <w:t xml:space="preserve"> a restriction number designates the type of special license or permit issued as follows:</w:t>
      </w:r>
    </w:p>
    <w:p>
      <w:pPr>
        <w:spacing w:before="0" w:after="0" w:line="480"/>
        <w:ind w:left="120"/>
        <w:jc w:val="both"/>
      </w:pPr>
      <w:r>
        <w:rPr>
          <w:rFonts w:ascii="Times New Roman" w:hAnsi="Times New Roman"/>
          <w:b w:val="false"/>
          <w:i w:val="false"/>
          <w:color w:val="000000"/>
          <w:sz w:val="24"/>
        </w:rPr>
        <w:t xml:space="preserve">1—Motorcycle instruction permit—includes motorcycle instruction permits issued under Iowa Code sections </w:t>
      </w:r>
      <w:hyperlink r:id="rId6">
        <w:r>
          <w:rPr>
            <w:rStyle w:val="Hyperlink"/>
            <w:rFonts w:ascii="Times New Roman" w:hAnsi="Times New Roman"/>
            <w:b w:val="false"/>
            <w:i w:val="false"/>
            <w:color w:val="000000"/>
            <w:sz w:val="24"/>
          </w:rPr>
          <w:t>321.180(1)</w:t>
        </w:r>
      </w:hyperlink>
      <w:r>
        <w:rPr>
          <w:rFonts w:ascii="Times New Roman" w:hAnsi="Times New Roman"/>
          <w:b w:val="false"/>
          <w:i w:val="false"/>
          <w:color w:val="000000"/>
          <w:sz w:val="24"/>
        </w:rPr>
        <w:t xml:space="preserve"> and </w:t>
      </w:r>
      <w:hyperlink r:id="rId7">
        <w:r>
          <w:rPr>
            <w:rStyle w:val="Hyperlink"/>
            <w:rFonts w:ascii="Times New Roman" w:hAnsi="Times New Roman"/>
            <w:b w:val="false"/>
            <w:i w:val="false"/>
            <w:color w:val="000000"/>
            <w:sz w:val="24"/>
          </w:rPr>
          <w:t>321.180B(1)</w:t>
        </w:r>
      </w:hyperlink>
    </w:p>
    <w:p>
      <w:pPr>
        <w:spacing w:before="0" w:after="0" w:line="480"/>
        <w:ind w:left="120"/>
        <w:jc w:val="both"/>
      </w:pPr>
      <w:r>
        <w:rPr>
          <w:rFonts w:ascii="Times New Roman" w:hAnsi="Times New Roman"/>
          <w:b w:val="false"/>
          <w:i w:val="false"/>
          <w:color w:val="000000"/>
          <w:sz w:val="24"/>
        </w:rPr>
        <w:t xml:space="preserve">2—Noncommercial instruction permit (vehicle less than 16,001 gross vehicle weight rating)—includes instruction permits, other than motorcycle instruction permits, issued under Iowa Code sections </w:t>
      </w:r>
      <w:hyperlink r:id="rId8">
        <w:r>
          <w:rPr>
            <w:rStyle w:val="Hyperlink"/>
            <w:rFonts w:ascii="Times New Roman" w:hAnsi="Times New Roman"/>
            <w:b w:val="false"/>
            <w:i w:val="false"/>
            <w:color w:val="000000"/>
            <w:sz w:val="24"/>
          </w:rPr>
          <w:t>321.180(1)</w:t>
        </w:r>
      </w:hyperlink>
      <w:r>
        <w:rPr>
          <w:rFonts w:ascii="Times New Roman" w:hAnsi="Times New Roman"/>
          <w:b w:val="false"/>
          <w:i w:val="false"/>
          <w:color w:val="000000"/>
          <w:sz w:val="24"/>
        </w:rPr>
        <w:t>, </w:t>
      </w:r>
      <w:hyperlink r:id="rId9">
        <w:r>
          <w:rPr>
            <w:rStyle w:val="Hyperlink"/>
            <w:rFonts w:ascii="Times New Roman" w:hAnsi="Times New Roman"/>
            <w:b w:val="false"/>
            <w:i w:val="false"/>
            <w:color w:val="000000"/>
            <w:sz w:val="24"/>
          </w:rPr>
          <w:t>321.180A</w:t>
        </w:r>
      </w:hyperlink>
      <w:r>
        <w:rPr>
          <w:rFonts w:ascii="Times New Roman" w:hAnsi="Times New Roman"/>
          <w:b w:val="false"/>
          <w:i w:val="false"/>
          <w:color w:val="000000"/>
          <w:sz w:val="24"/>
        </w:rPr>
        <w:t xml:space="preserve"> and </w:t>
      </w:r>
      <w:hyperlink r:id="rId10">
        <w:r>
          <w:rPr>
            <w:rStyle w:val="Hyperlink"/>
            <w:rFonts w:ascii="Times New Roman" w:hAnsi="Times New Roman"/>
            <w:b w:val="false"/>
            <w:i w:val="false"/>
            <w:color w:val="000000"/>
            <w:sz w:val="24"/>
          </w:rPr>
          <w:t>321.180B(1)</w:t>
        </w:r>
      </w:hyperlink>
    </w:p>
    <w:p>
      <w:pPr>
        <w:spacing w:before="0" w:after="0" w:line="480"/>
        <w:ind w:left="120"/>
        <w:jc w:val="both"/>
      </w:pPr>
      <w:r>
        <w:rPr>
          <w:rFonts w:ascii="Times New Roman" w:hAnsi="Times New Roman"/>
          <w:b w:val="false"/>
          <w:i w:val="false"/>
          <w:strike/>
          <w:color w:val="000000"/>
          <w:sz w:val="24"/>
        </w:rPr>
        <w:t>3—Commercial learner’s permit</w:t>
      </w:r>
    </w:p>
    <w:p>
      <w:pPr>
        <w:spacing w:before="0" w:after="0" w:line="480"/>
        <w:ind w:left="120"/>
        <w:jc w:val="both"/>
      </w:pPr>
      <w:r>
        <w:rPr>
          <w:rFonts w:ascii="Times New Roman" w:hAnsi="Times New Roman"/>
          <w:b w:val="false"/>
          <w:i w:val="false"/>
          <w:strike/>
          <w:color w:val="000000"/>
          <w:sz w:val="24"/>
        </w:rPr>
        <w:t>4—Chauffeur’s instruction permit</w:t>
      </w:r>
    </w:p>
    <w:p>
      <w:pPr>
        <w:spacing w:before="0" w:after="0" w:line="480"/>
        <w:ind w:left="120"/>
        <w:jc w:val="both"/>
      </w:pPr>
      <w:r>
        <w:rPr>
          <w:rFonts w:ascii="Times New Roman" w:hAnsi="Times New Roman"/>
          <w:b w:val="false"/>
          <w:i w:val="false"/>
          <w:color w:val="000000"/>
          <w:sz w:val="24"/>
        </w:rPr>
        <w:t>5—Motorized bicycle (moped) license</w:t>
      </w:r>
    </w:p>
    <w:p>
      <w:pPr>
        <w:spacing w:before="0" w:after="0" w:line="480"/>
        <w:ind w:left="120"/>
        <w:jc w:val="both"/>
      </w:pPr>
      <w:r>
        <w:rPr>
          <w:rFonts w:ascii="Times New Roman" w:hAnsi="Times New Roman"/>
          <w:b w:val="false"/>
          <w:i w:val="false"/>
          <w:color w:val="000000"/>
          <w:sz w:val="24"/>
        </w:rPr>
        <w:t>6—Minor’s restricted work license</w:t>
      </w:r>
    </w:p>
    <w:p>
      <w:pPr>
        <w:spacing w:before="0" w:after="0" w:line="480"/>
        <w:ind w:left="120"/>
        <w:jc w:val="both"/>
      </w:pPr>
      <w:r>
        <w:rPr>
          <w:rFonts w:ascii="Times New Roman" w:hAnsi="Times New Roman"/>
          <w:b w:val="false"/>
          <w:i w:val="false"/>
          <w:color w:val="000000"/>
          <w:sz w:val="24"/>
        </w:rPr>
        <w:t>7—Special minor’s restricted license</w:t>
      </w:r>
    </w:p>
    <w:p>
      <w:pPr>
        <w:spacing w:before="0" w:after="0" w:line="480"/>
        <w:ind w:left="120"/>
        <w:jc w:val="both"/>
      </w:pPr>
      <w:r>
        <w:rPr>
          <w:rFonts w:ascii="Times New Roman" w:hAnsi="Times New Roman"/>
          <w:b w:val="false"/>
          <w:i w:val="false"/>
          <w:color w:val="000000"/>
          <w:sz w:val="24"/>
        </w:rPr>
        <w:t>8—Special instruction permit</w:t>
      </w:r>
    </w:p>
    <w:p>
      <w:pPr>
        <w:spacing w:before="0" w:after="0" w:line="480"/>
        <w:ind w:left="120"/>
        <w:jc w:val="both"/>
      </w:pPr>
      <w:r>
        <w:rPr>
          <w:rFonts w:ascii="Times New Roman" w:hAnsi="Times New Roman"/>
          <w:b w:val="false"/>
          <w:i w:val="false"/>
          <w:color w:val="000000"/>
          <w:sz w:val="24"/>
        </w:rPr>
        <w:t>Commercial learner’s permit</w:t>
      </w:r>
    </w:p>
    <w:p>
      <w:pPr>
        <w:spacing w:before="0" w:after="0" w:line="480"/>
        <w:ind w:left="120"/>
        <w:jc w:val="both"/>
      </w:pPr>
      <w:r>
        <w:rPr>
          <w:rFonts w:ascii="Times New Roman" w:hAnsi="Times New Roman"/>
          <w:b w:val="false"/>
          <w:i w:val="false"/>
          <w:color w:val="000000"/>
          <w:sz w:val="24"/>
        </w:rPr>
        <w:t>Restricted commercial driver’s license</w:t>
      </w:r>
    </w:p>
    <w:p>
      <w:pPr>
        <w:spacing w:before="0" w:after="0" w:line="480"/>
        <w:ind w:left="120"/>
        <w:jc w:val="both"/>
      </w:pP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602.3(3)</w:t>
      </w:r>
      <w:r>
        <w:rPr>
          <w:rFonts w:ascii="Times New Roman" w:hAnsi="Times New Roman"/>
          <w:b w:val="false"/>
          <w:i w:val="false"/>
          <w:color w:val="000000"/>
          <w:sz w:val="24"/>
        </w:rPr>
        <w:t xml:space="preserve"> No change.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1">
        <w:r>
          <w:rPr>
            <w:rStyle w:val="Hyperlink"/>
            <w:rFonts w:ascii="Times New Roman" w:hAnsi="Times New Roman"/>
            <w:b w:val="false"/>
            <w:i w:val="false"/>
            <w:color w:val="000000"/>
            <w:sz w:val="24"/>
          </w:rPr>
          <w:t>321.178</w:t>
        </w:r>
      </w:hyperlink>
      <w:r>
        <w:rPr>
          <w:rFonts w:ascii="Times New Roman" w:hAnsi="Times New Roman"/>
          <w:b w:val="false"/>
          <w:i w:val="false"/>
          <w:color w:val="000000"/>
          <w:sz w:val="24"/>
        </w:rPr>
        <w:t xml:space="preserve">, </w:t>
      </w:r>
      <w:hyperlink r:id="rId12">
        <w:r>
          <w:rPr>
            <w:rStyle w:val="Hyperlink"/>
            <w:rFonts w:ascii="Times New Roman" w:hAnsi="Times New Roman"/>
            <w:b w:val="false"/>
            <w:i w:val="false"/>
            <w:color w:val="000000"/>
            <w:sz w:val="24"/>
          </w:rPr>
          <w:t>321.180</w:t>
        </w:r>
      </w:hyperlink>
      <w:r>
        <w:rPr>
          <w:rFonts w:ascii="Times New Roman" w:hAnsi="Times New Roman"/>
          <w:b w:val="false"/>
          <w:i w:val="false"/>
          <w:color w:val="000000"/>
          <w:sz w:val="24"/>
        </w:rPr>
        <w:t xml:space="preserve"> </w:t>
      </w:r>
      <w:r>
        <w:rPr>
          <w:rFonts w:ascii="Times New Roman" w:hAnsi="Times New Roman"/>
          <w:b w:val="false"/>
          <w:i w:val="false"/>
          <w:strike/>
          <w:color w:val="000000"/>
          <w:sz w:val="24"/>
        </w:rPr>
        <w:t>through</w:t>
      </w:r>
      <w:r>
        <w:rPr>
          <w:rFonts w:ascii="Times New Roman" w:hAnsi="Times New Roman"/>
          <w:b w:val="false"/>
          <w:i w:val="false"/>
          <w:color w:val="000000"/>
          <w:sz w:val="24"/>
        </w:rPr>
        <w:t xml:space="preserve"> </w:t>
      </w:r>
      <w:r>
        <w:rPr>
          <w:rFonts w:ascii="Times New Roman" w:hAnsi="Times New Roman"/>
          <w:b w:val="false"/>
          <w:i w:val="false"/>
          <w:color w:val="000000"/>
          <w:sz w:val="24"/>
          <w:u w:val="single"/>
        </w:rPr>
        <w:t xml:space="preserve">as amended by </w:t>
      </w:r>
      <w:r>
        <w:rPr>
          <w:rFonts w:ascii="Times New Roman" w:hAnsi="Times New Roman"/>
          <w:b w:val="false"/>
          <w:i w:val="false"/>
          <w:color w:val="000000"/>
          <w:sz w:val="24"/>
          <w:u w:val="single"/>
        </w:rPr>
        <w:t>2026 Iowa Acts, Senate File 2088</w:t>
      </w:r>
      <w:r>
        <w:rPr>
          <w:rFonts w:ascii="Times New Roman" w:hAnsi="Times New Roman"/>
          <w:b w:val="false"/>
          <w:i w:val="false"/>
          <w:color w:val="000000"/>
          <w:sz w:val="24"/>
          <w:u w:val="single"/>
        </w:rPr>
        <w:t xml:space="preserve">, section 2, </w:t>
      </w:r>
      <w:hyperlink r:id="rId13">
        <w:r>
          <w:rPr>
            <w:rStyle w:val="Hyperlink"/>
            <w:rFonts w:ascii="Times New Roman" w:hAnsi="Times New Roman"/>
            <w:b w:val="false"/>
            <w:i w:val="false"/>
            <w:color w:val="000000"/>
            <w:sz w:val="24"/>
            <w:u w:val="single"/>
          </w:rPr>
          <w:t>321.180A</w:t>
        </w:r>
      </w:hyperlink>
      <w:r>
        <w:rPr>
          <w:rFonts w:ascii="Times New Roman" w:hAnsi="Times New Roman"/>
          <w:b w:val="false"/>
          <w:i w:val="false"/>
          <w:color w:val="000000"/>
          <w:sz w:val="24"/>
          <w:u w:val="single"/>
        </w:rPr>
        <w:t>,</w:t>
      </w:r>
      <w:r>
        <w:rPr>
          <w:rFonts w:ascii="Times New Roman" w:hAnsi="Times New Roman"/>
          <w:b w:val="false"/>
          <w:i w:val="false"/>
          <w:color w:val="000000"/>
          <w:sz w:val="24"/>
          <w:u w:val="single"/>
        </w:rPr>
        <w:t> </w:t>
      </w:r>
      <w:hyperlink r:id="rId14">
        <w:r>
          <w:rPr>
            <w:rStyle w:val="Hyperlink"/>
            <w:rFonts w:ascii="Times New Roman" w:hAnsi="Times New Roman"/>
            <w:b w:val="false"/>
            <w:i w:val="false"/>
            <w:color w:val="000000"/>
            <w:sz w:val="24"/>
          </w:rPr>
          <w:t>321.180B</w:t>
        </w:r>
      </w:hyperlink>
      <w:r>
        <w:rPr>
          <w:rFonts w:ascii="Times New Roman" w:hAnsi="Times New Roman"/>
          <w:b w:val="false"/>
          <w:i w:val="false"/>
          <w:color w:val="000000"/>
          <w:sz w:val="24"/>
        </w:rPr>
        <w:t xml:space="preserve">, </w:t>
      </w:r>
      <w:hyperlink r:id="rId15">
        <w:r>
          <w:rPr>
            <w:rStyle w:val="Hyperlink"/>
            <w:rFonts w:ascii="Times New Roman" w:hAnsi="Times New Roman"/>
            <w:b w:val="false"/>
            <w:i w:val="false"/>
            <w:color w:val="000000"/>
            <w:sz w:val="24"/>
          </w:rPr>
          <w:t>321.189</w:t>
        </w:r>
      </w:hyperlink>
      <w:r>
        <w:rPr>
          <w:rFonts w:ascii="Times New Roman" w:hAnsi="Times New Roman"/>
          <w:b w:val="false"/>
          <w:i w:val="false"/>
          <w:color w:val="000000"/>
          <w:sz w:val="24"/>
        </w:rPr>
        <w:t xml:space="preserve">, and </w:t>
      </w:r>
      <w:hyperlink r:id="rId16">
        <w:r>
          <w:rPr>
            <w:rStyle w:val="Hyperlink"/>
            <w:rFonts w:ascii="Times New Roman" w:hAnsi="Times New Roman"/>
            <w:b w:val="false"/>
            <w:i w:val="false"/>
            <w:color w:val="000000"/>
            <w:sz w:val="24"/>
          </w:rPr>
          <w:t>321.194</w:t>
        </w:r>
      </w:hyperlink>
      <w:r>
        <w:rPr>
          <w:rFonts w:ascii="Times New Roman" w:hAnsi="Times New Roman"/>
          <w:b w:val="false"/>
          <w:i w:val="false"/>
          <w:color w:val="000000"/>
          <w:sz w:val="24"/>
        </w:rPr>
        <w:t>.</w:t>
      </w:r>
    </w:p>
    <w:p>
      <w:pPr>
        <w:spacing w:before="0" w:after="0" w:line="240"/>
        <w:ind w:left="120"/>
        <w:jc w:val="both"/>
      </w:pPr>
    </w:p>
    <w:sectPr>
      <w:footerReference r:id="rId1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teams.microsoft.com/meet/213866983162353?p=fh2p02HoeY2jTUzUcH" Type="http://schemas.openxmlformats.org/officeDocument/2006/relationships/hyperlink" Id="rId4"/>
    <Relationship TargetMode="External" Target="mailto:sara.siedsma@iowadot.us" Type="http://schemas.openxmlformats.org/officeDocument/2006/relationships/hyperlink" Id="rId5"/>
    <Relationship TargetMode="External" Target="https://www.legis.iowa.gov/docs/ico/chapter/321.180.pdf" Type="http://schemas.openxmlformats.org/officeDocument/2006/relationships/hyperlink" Id="rId6"/>
    <Relationship TargetMode="External" Target="https://www.legis.iowa.gov/docs/ico/chapter/321.180B.pdf" Type="http://schemas.openxmlformats.org/officeDocument/2006/relationships/hyperlink" Id="rId7"/>
    <Relationship TargetMode="External" Target="https://www.legis.iowa.gov/docs/ico/chapter/321.180.pdf" Type="http://schemas.openxmlformats.org/officeDocument/2006/relationships/hyperlink" Id="rId8"/>
    <Relationship TargetMode="External" Target="https://www.legis.iowa.gov/docs/ico/chapter/321.180A.pdf" Type="http://schemas.openxmlformats.org/officeDocument/2006/relationships/hyperlink" Id="rId9"/>
    <Relationship TargetMode="External" Target="https://www.legis.iowa.gov/docs/ico/chapter/321.180B.pdf" Type="http://schemas.openxmlformats.org/officeDocument/2006/relationships/hyperlink" Id="rId10"/>
    <Relationship TargetMode="External" Target="https://www.legis.iowa.gov/docs/ico/chapter/321.178.pdf" Type="http://schemas.openxmlformats.org/officeDocument/2006/relationships/hyperlink" Id="rId11"/>
    <Relationship TargetMode="External" Target="https://www.legis.iowa.gov/docs/ico/chapter/321.180.pdf" Type="http://schemas.openxmlformats.org/officeDocument/2006/relationships/hyperlink" Id="rId12"/>
    <Relationship TargetMode="External" Target="https://www.legis.iowa.gov/docs/ico/chapter/321.180A.pdf" Type="http://schemas.openxmlformats.org/officeDocument/2006/relationships/hyperlink" Id="rId13"/>
    <Relationship TargetMode="External" Target="https://www.legis.iowa.gov/docs/ico/chapter/321.180B.pdf" Type="http://schemas.openxmlformats.org/officeDocument/2006/relationships/hyperlink" Id="rId14"/>
    <Relationship TargetMode="External" Target="https://www.legis.iowa.gov/docs/ico/chapter/321.189.pdf" Type="http://schemas.openxmlformats.org/officeDocument/2006/relationships/hyperlink" Id="rId15"/>
    <Relationship TargetMode="External" Target="https://www.legis.iowa.gov/docs/ico/chapter/321.194.pdf" Type="http://schemas.openxmlformats.org/officeDocument/2006/relationships/hyperlink" Id="rId16"/>
    <Relationship Target="footer.xml" Type="http://schemas.openxmlformats.org/officeDocument/2006/relationships/footer" Id="rId1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